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after="312" w:afterLines="100" w:line="360" w:lineRule="auto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2019年培训计划</w:t>
      </w:r>
    </w:p>
    <w:tbl>
      <w:tblPr>
        <w:tblStyle w:val="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6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培训项目</w:t>
            </w: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培训内容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上岗培训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（基础）</w:t>
            </w: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专利代理执业道德</w:t>
            </w:r>
          </w:p>
        </w:tc>
        <w:tc>
          <w:tcPr>
            <w:tcW w:w="184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252424"/>
                <w:kern w:val="0"/>
                <w:sz w:val="32"/>
                <w:szCs w:val="32"/>
              </w:rPr>
              <w:t>专利文献与检索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color w:val="25242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专利申请文件撰写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审查意见通知书答复及申请文件修改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专利复审与无效 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PCT申请实务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外观设计申请实务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实务技能培训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（提升）</w:t>
            </w: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专利申请文件撰写</w:t>
            </w:r>
          </w:p>
        </w:tc>
        <w:tc>
          <w:tcPr>
            <w:tcW w:w="184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4月-9月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审查意见通知书答复及申请文件修改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专利复审与无效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PCT申请实务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专利行政诉讼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专利民事诉讼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外观设计申请实务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专利信息检索与专利信息分析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培训项目</w:t>
            </w: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培训内容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流程管理培训</w:t>
            </w: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专利流程管理实务（线上）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专利流程管理实务（线下）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5月-9月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考前培训</w:t>
            </w: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专利法律知识及相关法律知识</w:t>
            </w:r>
          </w:p>
        </w:tc>
        <w:tc>
          <w:tcPr>
            <w:tcW w:w="184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6月-9月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专利代理实务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专题培训 </w:t>
            </w: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商标申请实务</w:t>
            </w:r>
          </w:p>
        </w:tc>
        <w:tc>
          <w:tcPr>
            <w:tcW w:w="184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5月-8月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商标复审与无效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商标诉讼实务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版权诉讼实务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税收筹划实务</w:t>
            </w:r>
          </w:p>
        </w:tc>
        <w:tc>
          <w:tcPr>
            <w:tcW w:w="184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人力资源管理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00" w:lineRule="atLeast"/>
        <w:ind w:left="0" w:leftChars="-1" w:hanging="2" w:hangingChars="1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注：此计划为拟定计划，我会将根据培训工作的开展进行调整更新，具体培训安排请以培训班通知为准。</w:t>
      </w:r>
    </w:p>
    <w:p>
      <w:pPr>
        <w:spacing w:line="360" w:lineRule="auto"/>
        <w:jc w:val="left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E1861"/>
    <w:rsid w:val="197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2019-01-16T04:22:00Z</dcterms:created>
  <dc:creator>123</dc:creator>
  <cp:lastModifiedBy>123</cp:lastModifiedBy>
  <dcterms:modified xsi:type="dcterms:W3CDTF">2019-01-16T04:22:57Z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