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BA" w:rsidRDefault="00DA5EBA" w:rsidP="00DA5EBA">
      <w:pPr>
        <w:spacing w:line="560" w:lineRule="exact"/>
        <w:rPr>
          <w:rFonts w:ascii="仿宋_GB2312" w:eastAsia="仿宋_GB2312" w:hint="eastAsia"/>
          <w:sz w:val="32"/>
          <w:szCs w:val="32"/>
        </w:rPr>
      </w:pPr>
      <w:r w:rsidRPr="003C3F56">
        <w:rPr>
          <w:rFonts w:ascii="仿宋_GB2312" w:eastAsia="仿宋_GB2312" w:hint="eastAsia"/>
          <w:sz w:val="32"/>
          <w:szCs w:val="32"/>
        </w:rPr>
        <w:t xml:space="preserve">附件3： </w:t>
      </w:r>
    </w:p>
    <w:p w:rsidR="00DA5EBA" w:rsidRPr="006B54BF" w:rsidRDefault="00DA5EBA" w:rsidP="00DA5EBA">
      <w:pPr>
        <w:spacing w:beforeLines="100" w:before="312" w:afterLines="100" w:after="312" w:line="720" w:lineRule="exact"/>
        <w:jc w:val="center"/>
        <w:rPr>
          <w:rFonts w:ascii="方正小标宋简体" w:eastAsia="方正小标宋简体" w:hint="eastAsia"/>
          <w:sz w:val="44"/>
          <w:szCs w:val="32"/>
        </w:rPr>
      </w:pPr>
      <w:r w:rsidRPr="006B54BF">
        <w:rPr>
          <w:rFonts w:ascii="方正小标宋简体" w:eastAsia="方正小标宋简体" w:hint="eastAsia"/>
          <w:sz w:val="44"/>
          <w:szCs w:val="32"/>
        </w:rPr>
        <w:t>讲师简介</w:t>
      </w:r>
    </w:p>
    <w:p w:rsidR="00DA5EBA" w:rsidRPr="003C3F56" w:rsidRDefault="00DA5EBA" w:rsidP="00DA5EBA">
      <w:pPr>
        <w:rPr>
          <w:rFonts w:ascii="仿宋_GB2312" w:eastAsia="仿宋_GB2312"/>
          <w:b/>
          <w:sz w:val="32"/>
          <w:szCs w:val="32"/>
        </w:rPr>
      </w:pPr>
      <w:r w:rsidRPr="003C3F56">
        <w:rPr>
          <w:rFonts w:ascii="仿宋_GB2312" w:eastAsia="仿宋_GB2312"/>
          <w:b/>
          <w:noProof/>
          <w:sz w:val="32"/>
          <w:szCs w:val="32"/>
        </w:rPr>
        <w:drawing>
          <wp:anchor distT="0" distB="0" distL="114300" distR="114300" simplePos="0" relativeHeight="251659264" behindDoc="1" locked="0" layoutInCell="1" allowOverlap="1" wp14:anchorId="15EF60AA" wp14:editId="1B5C2164">
            <wp:simplePos x="0" y="0"/>
            <wp:positionH relativeFrom="column">
              <wp:posOffset>3888105</wp:posOffset>
            </wp:positionH>
            <wp:positionV relativeFrom="paragraph">
              <wp:posOffset>184785</wp:posOffset>
            </wp:positionV>
            <wp:extent cx="1297305" cy="1482725"/>
            <wp:effectExtent l="0" t="0" r="0" b="3175"/>
            <wp:wrapTight wrapText="bothSides">
              <wp:wrapPolygon edited="0">
                <wp:start x="0" y="0"/>
                <wp:lineTo x="0" y="21369"/>
                <wp:lineTo x="21251" y="21369"/>
                <wp:lineTo x="2125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305"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EBA" w:rsidRPr="003C3F56" w:rsidRDefault="00DA5EBA" w:rsidP="00DA5EBA">
      <w:pPr>
        <w:ind w:firstLineChars="200" w:firstLine="643"/>
        <w:rPr>
          <w:rFonts w:ascii="仿宋_GB2312" w:eastAsia="仿宋_GB2312"/>
          <w:b/>
          <w:sz w:val="32"/>
          <w:szCs w:val="32"/>
        </w:rPr>
      </w:pPr>
      <w:r w:rsidRPr="003C3F56">
        <w:rPr>
          <w:rFonts w:ascii="仿宋_GB2312" w:eastAsia="仿宋_GB2312" w:hint="eastAsia"/>
          <w:b/>
          <w:sz w:val="32"/>
          <w:szCs w:val="32"/>
        </w:rPr>
        <w:t>讲师：</w:t>
      </w:r>
      <w:r w:rsidRPr="003C3F56">
        <w:rPr>
          <w:rFonts w:ascii="仿宋_GB2312" w:eastAsia="仿宋_GB2312"/>
          <w:b/>
          <w:sz w:val="32"/>
          <w:szCs w:val="32"/>
        </w:rPr>
        <w:t>Carl Bruce</w:t>
      </w:r>
      <w:r w:rsidRPr="003C3F56">
        <w:rPr>
          <w:rFonts w:ascii="仿宋_GB2312" w:eastAsia="仿宋_GB2312" w:hint="eastAsia"/>
          <w:b/>
          <w:sz w:val="32"/>
          <w:szCs w:val="32"/>
        </w:rPr>
        <w:t xml:space="preserve"> </w:t>
      </w:r>
    </w:p>
    <w:p w:rsidR="00DA5EBA" w:rsidRPr="003C3F56" w:rsidRDefault="00DA5EBA" w:rsidP="00DA5EBA">
      <w:pPr>
        <w:ind w:firstLineChars="200" w:firstLine="643"/>
        <w:rPr>
          <w:rFonts w:ascii="仿宋_GB2312" w:eastAsia="仿宋_GB2312"/>
          <w:b/>
          <w:sz w:val="32"/>
          <w:szCs w:val="32"/>
        </w:rPr>
      </w:pPr>
      <w:r w:rsidRPr="003C3F56">
        <w:rPr>
          <w:rFonts w:ascii="仿宋_GB2312" w:eastAsia="仿宋_GB2312"/>
          <w:b/>
          <w:sz w:val="32"/>
          <w:szCs w:val="32"/>
        </w:rPr>
        <w:t>Fish &amp; Richardson</w:t>
      </w:r>
      <w:r w:rsidRPr="003C3F56">
        <w:rPr>
          <w:rFonts w:ascii="仿宋_GB2312" w:eastAsia="仿宋_GB2312" w:hint="eastAsia"/>
          <w:b/>
          <w:sz w:val="32"/>
          <w:szCs w:val="32"/>
        </w:rPr>
        <w:t>达拉斯分所合伙人</w:t>
      </w:r>
    </w:p>
    <w:p w:rsidR="00DA5EBA" w:rsidRDefault="00DA5EBA" w:rsidP="00DA5EBA">
      <w:pPr>
        <w:spacing w:line="500" w:lineRule="exact"/>
        <w:ind w:firstLineChars="300" w:firstLine="720"/>
        <w:rPr>
          <w:rFonts w:ascii="宋体" w:hAnsi="宋体"/>
          <w:color w:val="FF0000"/>
          <w:sz w:val="24"/>
        </w:rPr>
      </w:pP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hint="eastAsia"/>
          <w:sz w:val="32"/>
          <w:szCs w:val="32"/>
        </w:rPr>
        <w:t>Carl Bruce先生在化学工程和高分子复合材料领域拥有深厚知识，再加上其他多个技术领域的丰富经验，在制定法律策略时能够全面考虑技术问题和商业现实，使客户在法庭内外都能立于不败之地。</w:t>
      </w: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hint="eastAsia"/>
          <w:sz w:val="32"/>
          <w:szCs w:val="32"/>
        </w:rPr>
        <w:t>Bruce 先生曾带领诉讼团队，在众所周知难以得到即决判决的德州东区成功取得了3次专利案件即决判决的结果，并在起诉书、陈述书的编写过程中发挥了重要作用。在 Bruce 先生的领导下，Fish 咨询公司的律师团队还曾代表多名客户和其他共同被告人的联合律师团编写事实声明书，并制定诉讼策略，在一次陪审团裁决中成功获得全部四项专利诉讼主张无效的结果，为客户从原告寻求的损害赔偿和专利使用费中节省了约4亿美元。</w:t>
      </w: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hint="eastAsia"/>
          <w:sz w:val="32"/>
          <w:szCs w:val="32"/>
        </w:rPr>
        <w:t>Bruce 先生自2013年起一直是知识产权所有者协会 (IPO) 亚洲业务委员会的成员。他曾两次参与该委员会的亚洲实情调查之旅，与来自中国国家知识产权局、中国国家发</w:t>
      </w:r>
      <w:r w:rsidRPr="003C3F56">
        <w:rPr>
          <w:rFonts w:ascii="仿宋_GB2312" w:eastAsia="仿宋_GB2312" w:hint="eastAsia"/>
          <w:sz w:val="32"/>
          <w:szCs w:val="32"/>
        </w:rPr>
        <w:lastRenderedPageBreak/>
        <w:t>展和改革委员会 (NDRC) 反</w:t>
      </w:r>
      <w:proofErr w:type="gramStart"/>
      <w:r w:rsidRPr="003C3F56">
        <w:rPr>
          <w:rFonts w:ascii="仿宋_GB2312" w:eastAsia="仿宋_GB2312" w:hint="eastAsia"/>
          <w:sz w:val="32"/>
          <w:szCs w:val="32"/>
        </w:rPr>
        <w:t>垄断局</w:t>
      </w:r>
      <w:proofErr w:type="gramEnd"/>
      <w:r w:rsidRPr="003C3F56">
        <w:rPr>
          <w:rFonts w:ascii="仿宋_GB2312" w:eastAsia="仿宋_GB2312" w:hint="eastAsia"/>
          <w:sz w:val="32"/>
          <w:szCs w:val="32"/>
        </w:rPr>
        <w:t xml:space="preserve"> (AML)、国务院法制办公室 (SCLAO)、全国人大法制工作委员会的各位代表，以及最高人民法院和北京知识产权法院的法官们会面。Bruce 先生定期来中国会见现有及潜在的客户。</w:t>
      </w: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hint="eastAsia"/>
          <w:sz w:val="32"/>
          <w:szCs w:val="32"/>
        </w:rPr>
        <w:t>作为备受信赖的顾问及合作伙伴，Bruce 先生的客户遍布美国、欧洲和亚洲。</w:t>
      </w:r>
    </w:p>
    <w:p w:rsidR="00DA5EBA" w:rsidRDefault="00DA5EBA" w:rsidP="00DA5EBA">
      <w:pPr>
        <w:spacing w:line="500" w:lineRule="exact"/>
        <w:rPr>
          <w:rFonts w:ascii="宋体" w:hAnsi="宋体"/>
          <w:b/>
          <w:sz w:val="24"/>
        </w:rPr>
      </w:pPr>
    </w:p>
    <w:p w:rsidR="00DA5EBA" w:rsidRPr="003C3F56" w:rsidRDefault="00DA5EBA" w:rsidP="00DA5EBA">
      <w:pPr>
        <w:spacing w:line="500" w:lineRule="exact"/>
        <w:rPr>
          <w:rFonts w:ascii="仿宋_GB2312" w:eastAsia="仿宋_GB2312"/>
          <w:sz w:val="32"/>
          <w:szCs w:val="32"/>
        </w:rPr>
      </w:pPr>
      <w:r w:rsidRPr="003C3F56">
        <w:rPr>
          <w:rFonts w:ascii="仿宋_GB2312" w:eastAsia="仿宋_GB2312"/>
          <w:noProof/>
          <w:sz w:val="32"/>
          <w:szCs w:val="32"/>
        </w:rPr>
        <w:drawing>
          <wp:anchor distT="0" distB="0" distL="114300" distR="114300" simplePos="0" relativeHeight="251661312" behindDoc="1" locked="0" layoutInCell="1" allowOverlap="1" wp14:anchorId="3879C5AE" wp14:editId="32A18193">
            <wp:simplePos x="0" y="0"/>
            <wp:positionH relativeFrom="column">
              <wp:posOffset>4120515</wp:posOffset>
            </wp:positionH>
            <wp:positionV relativeFrom="paragraph">
              <wp:posOffset>194310</wp:posOffset>
            </wp:positionV>
            <wp:extent cx="1175385" cy="1502410"/>
            <wp:effectExtent l="0" t="0" r="5715" b="2540"/>
            <wp:wrapTight wrapText="bothSides">
              <wp:wrapPolygon edited="0">
                <wp:start x="0" y="0"/>
                <wp:lineTo x="0" y="21363"/>
                <wp:lineTo x="21355" y="21363"/>
                <wp:lineTo x="2135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EBA" w:rsidRPr="003C3F56" w:rsidRDefault="00DA5EBA" w:rsidP="00DA5EBA">
      <w:pPr>
        <w:rPr>
          <w:rFonts w:ascii="仿宋_GB2312" w:eastAsia="仿宋_GB2312"/>
          <w:b/>
          <w:sz w:val="32"/>
          <w:szCs w:val="32"/>
        </w:rPr>
      </w:pPr>
      <w:r w:rsidRPr="003C3F56">
        <w:rPr>
          <w:rFonts w:ascii="仿宋_GB2312" w:eastAsia="仿宋_GB2312"/>
          <w:b/>
          <w:sz w:val="32"/>
          <w:szCs w:val="32"/>
        </w:rPr>
        <w:t xml:space="preserve">Kristen </w:t>
      </w:r>
      <w:proofErr w:type="spellStart"/>
      <w:r w:rsidRPr="003C3F56">
        <w:rPr>
          <w:rFonts w:ascii="仿宋_GB2312" w:eastAsia="仿宋_GB2312"/>
          <w:b/>
          <w:sz w:val="32"/>
          <w:szCs w:val="32"/>
        </w:rPr>
        <w:t>McCallion</w:t>
      </w:r>
      <w:proofErr w:type="spellEnd"/>
      <w:r w:rsidRPr="003C3F56">
        <w:rPr>
          <w:rFonts w:ascii="仿宋_GB2312" w:eastAsia="仿宋_GB2312" w:hint="eastAsia"/>
          <w:b/>
          <w:sz w:val="32"/>
          <w:szCs w:val="32"/>
        </w:rPr>
        <w:t xml:space="preserve">                      </w:t>
      </w:r>
    </w:p>
    <w:p w:rsidR="00DA5EBA" w:rsidRPr="003C3F56" w:rsidRDefault="00DA5EBA" w:rsidP="00DA5EBA">
      <w:pPr>
        <w:rPr>
          <w:rFonts w:ascii="仿宋_GB2312" w:eastAsia="仿宋_GB2312"/>
          <w:b/>
          <w:sz w:val="32"/>
          <w:szCs w:val="32"/>
        </w:rPr>
      </w:pPr>
      <w:r w:rsidRPr="003C3F56">
        <w:rPr>
          <w:rFonts w:ascii="仿宋_GB2312" w:eastAsia="仿宋_GB2312"/>
          <w:b/>
          <w:sz w:val="32"/>
          <w:szCs w:val="32"/>
        </w:rPr>
        <w:t>Fish &amp; Richardson纽约分所</w:t>
      </w:r>
      <w:r w:rsidRPr="003C3F56">
        <w:rPr>
          <w:rFonts w:ascii="仿宋_GB2312" w:eastAsia="仿宋_GB2312" w:hint="eastAsia"/>
          <w:b/>
          <w:sz w:val="32"/>
          <w:szCs w:val="32"/>
        </w:rPr>
        <w:t>合伙人</w:t>
      </w:r>
    </w:p>
    <w:p w:rsidR="00DA5EBA" w:rsidRPr="003C3F56" w:rsidRDefault="00DA5EBA" w:rsidP="00DA5EBA">
      <w:pPr>
        <w:ind w:firstLineChars="200" w:firstLine="640"/>
        <w:rPr>
          <w:rFonts w:ascii="仿宋_GB2312" w:eastAsia="仿宋_GB2312"/>
          <w:sz w:val="32"/>
          <w:szCs w:val="32"/>
        </w:rPr>
      </w:pP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sz w:val="32"/>
          <w:szCs w:val="32"/>
        </w:rPr>
        <w:t xml:space="preserve">Kristen </w:t>
      </w:r>
      <w:proofErr w:type="spellStart"/>
      <w:r w:rsidRPr="003C3F56">
        <w:rPr>
          <w:rFonts w:ascii="仿宋_GB2312" w:eastAsia="仿宋_GB2312"/>
          <w:sz w:val="32"/>
          <w:szCs w:val="32"/>
        </w:rPr>
        <w:t>McCallion</w:t>
      </w:r>
      <w:proofErr w:type="spellEnd"/>
      <w:r w:rsidRPr="003C3F56">
        <w:rPr>
          <w:rFonts w:ascii="仿宋_GB2312" w:eastAsia="仿宋_GB2312" w:hint="eastAsia"/>
          <w:sz w:val="32"/>
          <w:szCs w:val="32"/>
        </w:rPr>
        <w:t>女士</w:t>
      </w:r>
      <w:r w:rsidRPr="003C3F56">
        <w:rPr>
          <w:rFonts w:ascii="仿宋_GB2312" w:eastAsia="仿宋_GB2312"/>
          <w:sz w:val="32"/>
          <w:szCs w:val="32"/>
        </w:rPr>
        <w:t>业务</w:t>
      </w:r>
      <w:r w:rsidRPr="003C3F56">
        <w:rPr>
          <w:rFonts w:ascii="仿宋_GB2312" w:eastAsia="仿宋_GB2312" w:hint="eastAsia"/>
          <w:sz w:val="32"/>
          <w:szCs w:val="32"/>
        </w:rPr>
        <w:t>范围主要</w:t>
      </w:r>
      <w:r w:rsidRPr="003C3F56">
        <w:rPr>
          <w:rFonts w:ascii="仿宋_GB2312" w:eastAsia="仿宋_GB2312"/>
          <w:sz w:val="32"/>
          <w:szCs w:val="32"/>
        </w:rPr>
        <w:t>包括商标、商品外观、版权和不正当竞争。</w:t>
      </w:r>
    </w:p>
    <w:p w:rsidR="00DA5EBA" w:rsidRPr="003C3F56" w:rsidRDefault="00DA5EBA" w:rsidP="00DA5EBA">
      <w:pPr>
        <w:ind w:firstLineChars="200" w:firstLine="640"/>
        <w:rPr>
          <w:rFonts w:ascii="仿宋_GB2312" w:eastAsia="仿宋_GB2312"/>
          <w:sz w:val="32"/>
          <w:szCs w:val="32"/>
        </w:rPr>
      </w:pPr>
      <w:proofErr w:type="spellStart"/>
      <w:r w:rsidRPr="003C3F56">
        <w:rPr>
          <w:rFonts w:ascii="仿宋_GB2312" w:eastAsia="仿宋_GB2312"/>
          <w:sz w:val="32"/>
          <w:szCs w:val="32"/>
        </w:rPr>
        <w:t>McCallion</w:t>
      </w:r>
      <w:proofErr w:type="spellEnd"/>
      <w:r w:rsidRPr="003C3F56">
        <w:rPr>
          <w:rFonts w:ascii="仿宋_GB2312" w:eastAsia="仿宋_GB2312" w:hint="eastAsia"/>
          <w:sz w:val="32"/>
          <w:szCs w:val="32"/>
        </w:rPr>
        <w:t>女士</w:t>
      </w:r>
      <w:r w:rsidRPr="003C3F56">
        <w:rPr>
          <w:rFonts w:ascii="仿宋_GB2312" w:eastAsia="仿宋_GB2312"/>
          <w:sz w:val="32"/>
          <w:szCs w:val="32"/>
        </w:rPr>
        <w:t>为客户提供商标使用建议，以提高品牌知名度并在全球范围内将商标组合的价值最大化；</w:t>
      </w:r>
      <w:r w:rsidRPr="003C3F56">
        <w:rPr>
          <w:rFonts w:ascii="仿宋_GB2312" w:eastAsia="仿宋_GB2312" w:hint="eastAsia"/>
          <w:sz w:val="32"/>
          <w:szCs w:val="32"/>
        </w:rPr>
        <w:t>她</w:t>
      </w:r>
      <w:r w:rsidRPr="003C3F56">
        <w:rPr>
          <w:rFonts w:ascii="仿宋_GB2312" w:eastAsia="仿宋_GB2312"/>
          <w:sz w:val="32"/>
          <w:szCs w:val="32"/>
        </w:rPr>
        <w:t>还定期为客户提供广泛版权问题的咨询，包括版权的注册、许可、实施、侵权和合理使用。</w:t>
      </w: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sz w:val="32"/>
          <w:szCs w:val="32"/>
        </w:rPr>
        <w:t>在2018年World Trademark Review的</w:t>
      </w:r>
      <w:r w:rsidRPr="003C3F56">
        <w:rPr>
          <w:rFonts w:ascii="仿宋_GB2312" w:eastAsia="仿宋_GB2312" w:hint="eastAsia"/>
          <w:sz w:val="32"/>
          <w:szCs w:val="32"/>
        </w:rPr>
        <w:t>“</w:t>
      </w:r>
      <w:r w:rsidRPr="003C3F56">
        <w:rPr>
          <w:rFonts w:ascii="仿宋_GB2312" w:eastAsia="仿宋_GB2312"/>
          <w:sz w:val="32"/>
          <w:szCs w:val="32"/>
        </w:rPr>
        <w:t>WTR 1000</w:t>
      </w:r>
      <w:r w:rsidRPr="003C3F56">
        <w:rPr>
          <w:rFonts w:ascii="仿宋_GB2312" w:eastAsia="仿宋_GB2312" w:hint="eastAsia"/>
          <w:sz w:val="32"/>
          <w:szCs w:val="32"/>
        </w:rPr>
        <w:t>”</w:t>
      </w:r>
      <w:r w:rsidRPr="003C3F56">
        <w:rPr>
          <w:rFonts w:ascii="仿宋_GB2312" w:eastAsia="仿宋_GB2312"/>
          <w:sz w:val="32"/>
          <w:szCs w:val="32"/>
        </w:rPr>
        <w:t>全球领先商标律所的评选活动中，</w:t>
      </w:r>
      <w:proofErr w:type="spellStart"/>
      <w:r w:rsidRPr="003C3F56">
        <w:rPr>
          <w:rFonts w:ascii="仿宋_GB2312" w:eastAsia="仿宋_GB2312"/>
          <w:sz w:val="32"/>
          <w:szCs w:val="32"/>
        </w:rPr>
        <w:t>McCallion</w:t>
      </w:r>
      <w:proofErr w:type="spellEnd"/>
      <w:r w:rsidRPr="003C3F56">
        <w:rPr>
          <w:rFonts w:ascii="仿宋_GB2312" w:eastAsia="仿宋_GB2312"/>
          <w:sz w:val="32"/>
          <w:szCs w:val="32"/>
        </w:rPr>
        <w:t>女士被评价为</w:t>
      </w:r>
      <w:r w:rsidRPr="003C3F56">
        <w:rPr>
          <w:rFonts w:ascii="仿宋_GB2312" w:eastAsia="仿宋_GB2312" w:hint="eastAsia"/>
          <w:sz w:val="32"/>
          <w:szCs w:val="32"/>
        </w:rPr>
        <w:t>“</w:t>
      </w:r>
      <w:r w:rsidRPr="003C3F56">
        <w:rPr>
          <w:rFonts w:ascii="仿宋_GB2312" w:eastAsia="仿宋_GB2312"/>
          <w:sz w:val="32"/>
          <w:szCs w:val="32"/>
        </w:rPr>
        <w:t>具有高超判断力且极具战略观点</w:t>
      </w:r>
      <w:r w:rsidRPr="003C3F56">
        <w:rPr>
          <w:rFonts w:ascii="仿宋_GB2312" w:eastAsia="仿宋_GB2312" w:hint="eastAsia"/>
          <w:sz w:val="32"/>
          <w:szCs w:val="32"/>
        </w:rPr>
        <w:t>”</w:t>
      </w:r>
      <w:r w:rsidRPr="003C3F56">
        <w:rPr>
          <w:rFonts w:ascii="仿宋_GB2312" w:eastAsia="仿宋_GB2312"/>
          <w:sz w:val="32"/>
          <w:szCs w:val="32"/>
        </w:rPr>
        <w:t>的律师，她</w:t>
      </w:r>
      <w:r w:rsidRPr="003C3F56">
        <w:rPr>
          <w:rFonts w:ascii="仿宋_GB2312" w:eastAsia="仿宋_GB2312" w:hint="eastAsia"/>
          <w:sz w:val="32"/>
          <w:szCs w:val="32"/>
        </w:rPr>
        <w:t>“</w:t>
      </w:r>
      <w:r w:rsidRPr="003C3F56">
        <w:rPr>
          <w:rFonts w:ascii="仿宋_GB2312" w:eastAsia="仿宋_GB2312"/>
          <w:sz w:val="32"/>
          <w:szCs w:val="32"/>
        </w:rPr>
        <w:t>聪慧、乐于应对，而且她效率极高，能让客户更快地达成决议</w:t>
      </w:r>
      <w:r w:rsidRPr="003C3F56">
        <w:rPr>
          <w:rFonts w:ascii="仿宋_GB2312" w:eastAsia="仿宋_GB2312" w:hint="eastAsia"/>
          <w:sz w:val="32"/>
          <w:szCs w:val="32"/>
        </w:rPr>
        <w:t>。”</w:t>
      </w:r>
    </w:p>
    <w:p w:rsidR="00DA5EBA" w:rsidRDefault="00DA5EBA" w:rsidP="00DA5EBA">
      <w:pPr>
        <w:ind w:firstLineChars="200" w:firstLine="480"/>
        <w:rPr>
          <w:sz w:val="24"/>
          <w:szCs w:val="24"/>
        </w:rPr>
      </w:pPr>
    </w:p>
    <w:p w:rsidR="00DA5EBA" w:rsidRDefault="00DA5EBA" w:rsidP="00DA5EBA">
      <w:pPr>
        <w:ind w:firstLineChars="200" w:firstLine="480"/>
        <w:rPr>
          <w:sz w:val="24"/>
          <w:szCs w:val="24"/>
        </w:rPr>
      </w:pPr>
    </w:p>
    <w:p w:rsidR="00DA5EBA" w:rsidRPr="009019A8" w:rsidRDefault="00DA5EBA" w:rsidP="00DA5EBA">
      <w:pPr>
        <w:ind w:firstLineChars="200" w:firstLine="480"/>
        <w:rPr>
          <w:sz w:val="24"/>
          <w:szCs w:val="24"/>
        </w:rPr>
      </w:pPr>
    </w:p>
    <w:p w:rsidR="00DA5EBA" w:rsidRPr="009019A8" w:rsidRDefault="00DA5EBA" w:rsidP="00DA5EBA">
      <w:pPr>
        <w:rPr>
          <w:sz w:val="24"/>
          <w:szCs w:val="24"/>
        </w:rPr>
      </w:pPr>
      <w:r>
        <w:rPr>
          <w:noProof/>
        </w:rPr>
        <w:lastRenderedPageBreak/>
        <w:drawing>
          <wp:anchor distT="0" distB="0" distL="114300" distR="114300" simplePos="0" relativeHeight="251660288" behindDoc="1" locked="0" layoutInCell="1" allowOverlap="1" wp14:anchorId="78F4A450" wp14:editId="5C508EF1">
            <wp:simplePos x="0" y="0"/>
            <wp:positionH relativeFrom="column">
              <wp:posOffset>4009390</wp:posOffset>
            </wp:positionH>
            <wp:positionV relativeFrom="paragraph">
              <wp:posOffset>81915</wp:posOffset>
            </wp:positionV>
            <wp:extent cx="1226820" cy="1395730"/>
            <wp:effectExtent l="0" t="0" r="0" b="0"/>
            <wp:wrapTight wrapText="bothSides">
              <wp:wrapPolygon edited="0">
                <wp:start x="0" y="0"/>
                <wp:lineTo x="0" y="21227"/>
                <wp:lineTo x="21130" y="21227"/>
                <wp:lineTo x="2113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EBA" w:rsidRPr="003C3F56" w:rsidRDefault="00DA5EBA" w:rsidP="00DA5EBA">
      <w:pPr>
        <w:rPr>
          <w:rFonts w:ascii="仿宋_GB2312" w:eastAsia="仿宋_GB2312"/>
          <w:b/>
          <w:sz w:val="32"/>
          <w:szCs w:val="32"/>
        </w:rPr>
      </w:pPr>
      <w:r w:rsidRPr="003C3F56">
        <w:rPr>
          <w:rFonts w:ascii="仿宋_GB2312" w:eastAsia="仿宋_GB2312"/>
          <w:b/>
          <w:sz w:val="32"/>
          <w:szCs w:val="32"/>
        </w:rPr>
        <w:t>Ryan McCarthy</w:t>
      </w:r>
      <w:r w:rsidRPr="003C3F56">
        <w:rPr>
          <w:rFonts w:ascii="仿宋_GB2312" w:eastAsia="仿宋_GB2312" w:hint="eastAsia"/>
          <w:b/>
          <w:sz w:val="32"/>
          <w:szCs w:val="32"/>
        </w:rPr>
        <w:t xml:space="preserve">                         </w:t>
      </w:r>
    </w:p>
    <w:p w:rsidR="00DA5EBA" w:rsidRPr="003C3F56" w:rsidRDefault="00DA5EBA" w:rsidP="00DA5EBA">
      <w:pPr>
        <w:rPr>
          <w:rFonts w:ascii="仿宋_GB2312" w:eastAsia="仿宋_GB2312"/>
          <w:b/>
          <w:sz w:val="32"/>
          <w:szCs w:val="32"/>
        </w:rPr>
      </w:pPr>
      <w:r w:rsidRPr="003C3F56">
        <w:rPr>
          <w:rFonts w:ascii="仿宋_GB2312" w:eastAsia="仿宋_GB2312"/>
          <w:b/>
          <w:sz w:val="32"/>
          <w:szCs w:val="32"/>
        </w:rPr>
        <w:t>Fish &amp; Richardson德克萨斯奥斯汀分所</w:t>
      </w:r>
      <w:r w:rsidRPr="003C3F56">
        <w:rPr>
          <w:rFonts w:ascii="仿宋_GB2312" w:eastAsia="仿宋_GB2312" w:hint="eastAsia"/>
          <w:b/>
          <w:sz w:val="32"/>
          <w:szCs w:val="32"/>
        </w:rPr>
        <w:t>合伙人</w:t>
      </w:r>
    </w:p>
    <w:p w:rsidR="00DA5EBA" w:rsidRPr="003C3F56" w:rsidRDefault="00DA5EBA" w:rsidP="00DA5EBA">
      <w:pPr>
        <w:ind w:firstLineChars="200" w:firstLine="640"/>
        <w:rPr>
          <w:rFonts w:ascii="仿宋_GB2312" w:eastAsia="仿宋_GB2312"/>
          <w:sz w:val="32"/>
          <w:szCs w:val="32"/>
        </w:rPr>
      </w:pP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sz w:val="32"/>
          <w:szCs w:val="32"/>
        </w:rPr>
        <w:t>Ryan</w:t>
      </w:r>
      <w:r w:rsidRPr="007F41AD">
        <w:rPr>
          <w:rFonts w:ascii="仿宋_GB2312" w:eastAsia="仿宋_GB2312"/>
          <w:sz w:val="32"/>
          <w:szCs w:val="32"/>
        </w:rPr>
        <w:t xml:space="preserve"> McCarthy</w:t>
      </w:r>
      <w:r>
        <w:rPr>
          <w:rFonts w:ascii="仿宋_GB2312" w:eastAsia="仿宋_GB2312" w:hint="eastAsia"/>
          <w:sz w:val="32"/>
          <w:szCs w:val="32"/>
        </w:rPr>
        <w:t>先生</w:t>
      </w:r>
      <w:r w:rsidRPr="003C3F56">
        <w:rPr>
          <w:rFonts w:ascii="仿宋_GB2312" w:eastAsia="仿宋_GB2312"/>
          <w:sz w:val="32"/>
          <w:szCs w:val="32"/>
        </w:rPr>
        <w:t>从事知识产权业务近20年，其</w:t>
      </w:r>
      <w:r w:rsidRPr="003C3F56">
        <w:rPr>
          <w:rFonts w:ascii="仿宋_GB2312" w:eastAsia="仿宋_GB2312" w:hint="eastAsia"/>
          <w:sz w:val="32"/>
          <w:szCs w:val="32"/>
        </w:rPr>
        <w:t>业务</w:t>
      </w:r>
      <w:r w:rsidRPr="003C3F56">
        <w:rPr>
          <w:rFonts w:ascii="仿宋_GB2312" w:eastAsia="仿宋_GB2312"/>
          <w:sz w:val="32"/>
          <w:szCs w:val="32"/>
        </w:rPr>
        <w:t>领域涉及专利</w:t>
      </w:r>
      <w:r w:rsidRPr="003C3F56">
        <w:rPr>
          <w:rFonts w:ascii="仿宋_GB2312" w:eastAsia="仿宋_GB2312" w:hint="eastAsia"/>
          <w:sz w:val="32"/>
          <w:szCs w:val="32"/>
        </w:rPr>
        <w:t>申请</w:t>
      </w:r>
      <w:r w:rsidRPr="003C3F56">
        <w:rPr>
          <w:rFonts w:ascii="仿宋_GB2312" w:eastAsia="仿宋_GB2312"/>
          <w:sz w:val="32"/>
          <w:szCs w:val="32"/>
        </w:rPr>
        <w:t>、诉讼、法律意见、知识产权尽职调查、知识产权战略、组合管理、协议、许可和授权后</w:t>
      </w:r>
      <w:r w:rsidRPr="003C3F56">
        <w:rPr>
          <w:rFonts w:ascii="仿宋_GB2312" w:eastAsia="仿宋_GB2312" w:hint="eastAsia"/>
          <w:sz w:val="32"/>
          <w:szCs w:val="32"/>
        </w:rPr>
        <w:t>等</w:t>
      </w:r>
      <w:r w:rsidRPr="003C3F56">
        <w:rPr>
          <w:rFonts w:ascii="仿宋_GB2312" w:eastAsia="仿宋_GB2312"/>
          <w:sz w:val="32"/>
          <w:szCs w:val="32"/>
        </w:rPr>
        <w:t>实务工作；Ryan的技术领域包括软件、计算机科学、机械、机电、电气系统和控制。</w:t>
      </w:r>
    </w:p>
    <w:p w:rsidR="00DA5EBA" w:rsidRPr="003C3F56" w:rsidRDefault="00DA5EBA" w:rsidP="00DA5EBA">
      <w:pPr>
        <w:ind w:firstLineChars="200" w:firstLine="640"/>
        <w:rPr>
          <w:rFonts w:ascii="仿宋_GB2312" w:eastAsia="仿宋_GB2312"/>
          <w:sz w:val="32"/>
          <w:szCs w:val="32"/>
        </w:rPr>
      </w:pPr>
      <w:r w:rsidRPr="003C3F56">
        <w:rPr>
          <w:rFonts w:ascii="仿宋_GB2312" w:eastAsia="仿宋_GB2312"/>
          <w:sz w:val="32"/>
          <w:szCs w:val="32"/>
        </w:rPr>
        <w:t>Ryan</w:t>
      </w:r>
      <w:r>
        <w:rPr>
          <w:rFonts w:ascii="仿宋_GB2312" w:eastAsia="仿宋_GB2312" w:hint="eastAsia"/>
          <w:sz w:val="32"/>
          <w:szCs w:val="32"/>
        </w:rPr>
        <w:t>为</w:t>
      </w:r>
      <w:r w:rsidRPr="003C3F56">
        <w:rPr>
          <w:rFonts w:ascii="仿宋_GB2312" w:eastAsia="仿宋_GB2312"/>
          <w:sz w:val="32"/>
          <w:szCs w:val="32"/>
        </w:rPr>
        <w:t>客户提供战略性发展和知识产权</w:t>
      </w:r>
      <w:r w:rsidRPr="003C3F56">
        <w:rPr>
          <w:rFonts w:ascii="仿宋_GB2312" w:eastAsia="仿宋_GB2312" w:hint="eastAsia"/>
          <w:sz w:val="32"/>
          <w:szCs w:val="32"/>
        </w:rPr>
        <w:t>实施</w:t>
      </w:r>
      <w:r w:rsidRPr="003C3F56">
        <w:rPr>
          <w:rFonts w:ascii="仿宋_GB2312" w:eastAsia="仿宋_GB2312"/>
          <w:sz w:val="32"/>
          <w:szCs w:val="32"/>
        </w:rPr>
        <w:t>方面的咨询服务，</w:t>
      </w:r>
      <w:r w:rsidRPr="003C3F56">
        <w:rPr>
          <w:rFonts w:ascii="仿宋_GB2312" w:eastAsia="仿宋_GB2312" w:hint="eastAsia"/>
          <w:sz w:val="32"/>
          <w:szCs w:val="32"/>
        </w:rPr>
        <w:t>涉及</w:t>
      </w:r>
      <w:r w:rsidRPr="003C3F56">
        <w:rPr>
          <w:rFonts w:ascii="仿宋_GB2312" w:eastAsia="仿宋_GB2312"/>
          <w:sz w:val="32"/>
          <w:szCs w:val="32"/>
        </w:rPr>
        <w:t>范围包括专利、外观设计、版权、商标和商品外观； Ryan曾在英国和德国生活和工作。</w:t>
      </w:r>
      <w:r w:rsidRPr="003C3F56">
        <w:rPr>
          <w:rFonts w:ascii="仿宋_GB2312" w:eastAsia="仿宋_GB2312" w:hint="eastAsia"/>
          <w:sz w:val="32"/>
          <w:szCs w:val="32"/>
        </w:rPr>
        <w:t>未来</w:t>
      </w:r>
      <w:r w:rsidRPr="003C3F56">
        <w:rPr>
          <w:rFonts w:ascii="仿宋_GB2312" w:eastAsia="仿宋_GB2312"/>
          <w:sz w:val="32"/>
          <w:szCs w:val="32"/>
        </w:rPr>
        <w:t>他将搬迁到中国深圳</w:t>
      </w:r>
      <w:r w:rsidRPr="003C3F56">
        <w:rPr>
          <w:rFonts w:ascii="仿宋_GB2312" w:eastAsia="仿宋_GB2312" w:hint="eastAsia"/>
          <w:sz w:val="32"/>
          <w:szCs w:val="32"/>
        </w:rPr>
        <w:t>，</w:t>
      </w:r>
      <w:r w:rsidRPr="003C3F56">
        <w:rPr>
          <w:rFonts w:ascii="仿宋_GB2312" w:eastAsia="仿宋_GB2312"/>
          <w:sz w:val="32"/>
          <w:szCs w:val="32"/>
        </w:rPr>
        <w:t>担任Fish &amp; Richardson深圳代表处的首席代表。</w:t>
      </w:r>
    </w:p>
    <w:p w:rsidR="00DA5EBA" w:rsidRPr="003C3F56" w:rsidRDefault="00DA5EBA" w:rsidP="00DA5EBA">
      <w:pPr>
        <w:spacing w:line="560" w:lineRule="exact"/>
        <w:ind w:firstLineChars="200" w:firstLine="640"/>
        <w:rPr>
          <w:rFonts w:ascii="仿宋_GB2312" w:eastAsia="仿宋_GB2312"/>
          <w:sz w:val="32"/>
          <w:szCs w:val="32"/>
        </w:rPr>
      </w:pPr>
    </w:p>
    <w:p w:rsidR="00655F88" w:rsidRDefault="00655F88">
      <w:bookmarkStart w:id="0" w:name="_GoBack"/>
      <w:bookmarkEnd w:id="0"/>
    </w:p>
    <w:sectPr w:rsidR="00655F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A"/>
    <w:rsid w:val="00655F88"/>
    <w:rsid w:val="00DA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2018-08-28T07:53:00Z</dcterms:created>
  <dcterms:modified xsi:type="dcterms:W3CDTF">2018-08-28T07:53:00Z</dcterms:modified>
</cp:coreProperties>
</file>